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br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Количество обращений и содержащихся в них вопросов, поступивших 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в Котовский сельсовет Пристенского района Курской области Пристенского района Курской области по тематическим разделам, 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тематикам и группам за II квартал 2018г.</w:t>
        <w:tab/>
      </w:r>
    </w:p>
    <w:tbl>
      <w:tblPr/>
      <w:tblGrid>
        <w:gridCol w:w="1428"/>
        <w:gridCol w:w="754"/>
        <w:gridCol w:w="958"/>
        <w:gridCol w:w="1037"/>
        <w:gridCol w:w="418"/>
        <w:gridCol w:w="417"/>
        <w:gridCol w:w="417"/>
        <w:gridCol w:w="417"/>
        <w:gridCol w:w="420"/>
        <w:gridCol w:w="417"/>
        <w:gridCol w:w="417"/>
        <w:gridCol w:w="417"/>
        <w:gridCol w:w="486"/>
        <w:gridCol w:w="409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00"/>
      </w:tblGrid>
      <w:tr>
        <w:trPr>
          <w:trHeight w:val="391" w:hRule="auto"/>
          <w:jc w:val="left"/>
        </w:trPr>
        <w:tc>
          <w:tcPr>
            <w:tcW w:w="2182" w:type="dxa"/>
            <w:gridSpan w:val="2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890" w:type="dxa"/>
            <w:gridSpan w:val="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Тематические разделы</w:t>
            </w:r>
          </w:p>
        </w:tc>
      </w:tr>
      <w:tr>
        <w:trPr>
          <w:trHeight w:val="567" w:hRule="auto"/>
          <w:jc w:val="left"/>
        </w:trPr>
        <w:tc>
          <w:tcPr>
            <w:tcW w:w="2182" w:type="dxa"/>
            <w:gridSpan w:val="2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9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Государство, общество, политика</w:t>
            </w:r>
          </w:p>
        </w:tc>
        <w:tc>
          <w:tcPr>
            <w:tcW w:w="2563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Социальная сфера</w:t>
            </w:r>
          </w:p>
        </w:tc>
        <w:tc>
          <w:tcPr>
            <w:tcW w:w="2085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Экономика</w:t>
            </w:r>
          </w:p>
        </w:tc>
        <w:tc>
          <w:tcPr>
            <w:tcW w:w="2085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Оборона, безопасность, законность</w:t>
            </w:r>
          </w:p>
        </w:tc>
        <w:tc>
          <w:tcPr>
            <w:tcW w:w="2068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8"/>
                <w:shd w:fill="auto" w:val="clear"/>
              </w:rPr>
              <w:t xml:space="preserve">Жилищно-коммунальная сфера</w:t>
            </w:r>
          </w:p>
        </w:tc>
      </w:tr>
      <w:tr>
        <w:trPr>
          <w:trHeight w:val="311" w:hRule="auto"/>
          <w:jc w:val="left"/>
        </w:trPr>
        <w:tc>
          <w:tcPr>
            <w:tcW w:w="2182" w:type="dxa"/>
            <w:gridSpan w:val="2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89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Тематики</w:t>
            </w:r>
          </w:p>
        </w:tc>
        <w:tc>
          <w:tcPr>
            <w:tcW w:w="2563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Тематики</w:t>
            </w:r>
          </w:p>
        </w:tc>
        <w:tc>
          <w:tcPr>
            <w:tcW w:w="2085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Тематики</w:t>
            </w:r>
          </w:p>
        </w:tc>
        <w:tc>
          <w:tcPr>
            <w:tcW w:w="2085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Тематики</w:t>
            </w:r>
          </w:p>
        </w:tc>
        <w:tc>
          <w:tcPr>
            <w:tcW w:w="2068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Группы тем</w:t>
            </w:r>
          </w:p>
        </w:tc>
      </w:tr>
      <w:tr>
        <w:trPr>
          <w:trHeight w:val="3534" w:hRule="auto"/>
          <w:jc w:val="left"/>
        </w:trPr>
        <w:tc>
          <w:tcPr>
            <w:tcW w:w="218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Количество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обращений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Количество вопросов в обращениях (4+5+6+7+8)</w:t>
            </w:r>
          </w:p>
        </w:tc>
        <w:tc>
          <w:tcPr>
            <w:tcW w:w="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Конституционный строй 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Основы государственного управления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Международные отношения. Международное право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Гражданское право</w:t>
            </w:r>
          </w:p>
        </w:tc>
        <w:tc>
          <w:tcPr>
            <w:tcW w:w="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Семья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Труд и занятость населения 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Социальное обеспечение и социальное страхование 6</w:t>
            </w:r>
          </w:p>
        </w:tc>
        <w:tc>
          <w:tcPr>
            <w:tcW w:w="895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Образование. Наука. Культура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Здравоохранение. Физическая культура и спорт. Туризм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Финансы 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Хозяйственная деятельность 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Внешнеэкономическая деятельность. Таможенное дело 11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Природные ресурсы и охрана окружающей природной среды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Информация и информатизация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Оборона 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Безопасность и охрана правопорядка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Уголовное право. Исполнение наказаний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Правосудие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Прокуратура. Органы юстиции. Адвокатура. Нотариат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Жилищное законодательство и его применение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Жилищный фонд 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Нежилой фонд</w:t>
            </w: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Обеспечение права на жилище </w:t>
            </w:r>
          </w:p>
        </w:tc>
        <w:tc>
          <w:tcPr>
            <w:tcW w:w="4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Содержание и обеспечение коммунальными услугами жилого фонда</w:t>
            </w:r>
          </w:p>
        </w:tc>
      </w:tr>
      <w:tr>
        <w:trPr>
          <w:trHeight w:val="281" w:hRule="auto"/>
          <w:jc w:val="left"/>
        </w:trPr>
        <w:tc>
          <w:tcPr>
            <w:tcW w:w="218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3</w:t>
            </w:r>
          </w:p>
        </w:tc>
        <w:tc>
          <w:tcPr>
            <w:tcW w:w="2089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4</w:t>
            </w:r>
          </w:p>
        </w:tc>
        <w:tc>
          <w:tcPr>
            <w:tcW w:w="2563" w:type="dxa"/>
            <w:gridSpan w:val="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5</w:t>
            </w:r>
          </w:p>
        </w:tc>
        <w:tc>
          <w:tcPr>
            <w:tcW w:w="2085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6</w:t>
            </w:r>
          </w:p>
        </w:tc>
        <w:tc>
          <w:tcPr>
            <w:tcW w:w="2085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7</w:t>
            </w:r>
          </w:p>
        </w:tc>
        <w:tc>
          <w:tcPr>
            <w:tcW w:w="2068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8</w:t>
            </w:r>
          </w:p>
        </w:tc>
      </w:tr>
      <w:tr>
        <w:trPr>
          <w:trHeight w:val="725" w:hRule="auto"/>
          <w:jc w:val="left"/>
        </w:trPr>
        <w:tc>
          <w:tcPr>
            <w:tcW w:w="218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Поступило обращений  (всего):</w:t>
            </w:r>
          </w:p>
        </w:tc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390" w:hRule="auto"/>
          <w:jc w:val="left"/>
        </w:trPr>
        <w:tc>
          <w:tcPr>
            <w:tcW w:w="218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в том числе устно</w:t>
            </w:r>
          </w:p>
        </w:tc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363" w:hRule="auto"/>
          <w:jc w:val="left"/>
        </w:trPr>
        <w:tc>
          <w:tcPr>
            <w:tcW w:w="2182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в том числе письменно</w:t>
            </w:r>
          </w:p>
        </w:tc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-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-</w:t>
            </w:r>
          </w:p>
        </w:tc>
        <w:tc>
          <w:tcPr>
            <w:tcW w:w="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-</w:t>
            </w:r>
          </w:p>
        </w:tc>
      </w:tr>
      <w:tr>
        <w:trPr>
          <w:trHeight w:val="479" w:hRule="auto"/>
          <w:jc w:val="left"/>
        </w:trPr>
        <w:tc>
          <w:tcPr>
            <w:tcW w:w="142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результативность по рассмотренным и направленным по компетенции обращениям за отчетный период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 2018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года</w:t>
            </w:r>
          </w:p>
        </w:tc>
        <w:tc>
          <w:tcPr>
            <w:tcW w:w="7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поддержано</w:t>
            </w:r>
          </w:p>
        </w:tc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913" w:hRule="auto"/>
          <w:jc w:val="left"/>
        </w:trPr>
        <w:tc>
          <w:tcPr>
            <w:tcW w:w="142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в том числе меры приняты</w:t>
            </w:r>
          </w:p>
        </w:tc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-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-</w:t>
            </w:r>
          </w:p>
        </w:tc>
        <w:tc>
          <w:tcPr>
            <w:tcW w:w="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tabs>
                <w:tab w:val="center" w:pos="190" w:leader="none"/>
              </w:tabs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-</w:t>
            </w:r>
          </w:p>
        </w:tc>
      </w:tr>
      <w:tr>
        <w:trPr>
          <w:trHeight w:val="551" w:hRule="auto"/>
          <w:jc w:val="left"/>
        </w:trPr>
        <w:tc>
          <w:tcPr>
            <w:tcW w:w="142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bottom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разъяснено</w:t>
            </w:r>
          </w:p>
        </w:tc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865" w:hRule="auto"/>
          <w:jc w:val="left"/>
        </w:trPr>
        <w:tc>
          <w:tcPr>
            <w:tcW w:w="142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8"/>
                <w:shd w:fill="auto" w:val="clear"/>
              </w:rPr>
              <w:t xml:space="preserve">не поддержано</w:t>
            </w:r>
          </w:p>
        </w:tc>
        <w:tc>
          <w:tcPr>
            <w:tcW w:w="95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" w:type="dxa"/>
              <w:right w:w="1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